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064B8" w14:textId="77777777" w:rsidR="00C458ED" w:rsidRPr="00E371B1" w:rsidRDefault="00C458ED" w:rsidP="0092693A">
      <w:pPr>
        <w:pBdr>
          <w:top w:val="single" w:sz="4" w:space="1" w:color="auto"/>
          <w:bottom w:val="single" w:sz="4" w:space="1" w:color="auto"/>
        </w:pBdr>
        <w:shd w:val="clear" w:color="auto" w:fill="262626" w:themeFill="text1" w:themeFillTint="D9"/>
        <w:jc w:val="center"/>
        <w:rPr>
          <w:b/>
          <w:smallCaps/>
        </w:rPr>
      </w:pPr>
      <w:r w:rsidRPr="00E371B1">
        <w:rPr>
          <w:b/>
          <w:smallCaps/>
        </w:rPr>
        <w:t>Instructions</w:t>
      </w:r>
    </w:p>
    <w:p w14:paraId="6104C554" w14:textId="77777777" w:rsidR="00AF4858" w:rsidRPr="00AF4858" w:rsidRDefault="0092693A" w:rsidP="00A15A8C">
      <w:pPr>
        <w:pBdr>
          <w:bottom w:val="single" w:sz="4" w:space="1" w:color="auto"/>
        </w:pBdr>
      </w:pPr>
      <w:r w:rsidRPr="00E371B1">
        <w:t>Please supply requested information in the blue-shaded areas and indicate any attachments that have been included.</w:t>
      </w:r>
      <w:r w:rsidR="00AF4858">
        <w:t xml:space="preserve">  </w:t>
      </w:r>
      <w:r w:rsidR="00E86145" w:rsidRPr="00AF4858">
        <w:t xml:space="preserve">Where appropriate, supporting documentation may be referenced by specific page and/or paragraph number(s). </w:t>
      </w:r>
    </w:p>
    <w:p w14:paraId="0F13033B" w14:textId="77777777" w:rsidR="00AF4858" w:rsidRPr="00AF4858" w:rsidRDefault="00AF4858" w:rsidP="00A15A8C">
      <w:pPr>
        <w:pBdr>
          <w:bottom w:val="single" w:sz="4" w:space="1" w:color="auto"/>
        </w:pBdr>
      </w:pPr>
    </w:p>
    <w:p w14:paraId="676FAE7F" w14:textId="77777777" w:rsidR="00AF4858" w:rsidRPr="009D764A" w:rsidRDefault="00E86145" w:rsidP="00AF4858">
      <w:pPr>
        <w:pBdr>
          <w:bottom w:val="single" w:sz="4" w:space="1" w:color="auto"/>
        </w:pBdr>
        <w:rPr>
          <w:b/>
          <w:bCs/>
        </w:rPr>
      </w:pPr>
      <w:r w:rsidRPr="009D764A">
        <w:rPr>
          <w:b/>
          <w:bCs/>
        </w:rPr>
        <w:t>If any of this response contains confidential information,</w:t>
      </w:r>
      <w:r w:rsidR="005E02CB" w:rsidRPr="009D764A">
        <w:rPr>
          <w:b/>
          <w:bCs/>
        </w:rPr>
        <w:t xml:space="preserve"> as defined by IC 5-14-3, provide a </w:t>
      </w:r>
      <w:r w:rsidR="00AF4858" w:rsidRPr="009D764A">
        <w:rPr>
          <w:b/>
          <w:bCs/>
        </w:rPr>
        <w:t>separate</w:t>
      </w:r>
      <w:r w:rsidR="005E02CB" w:rsidRPr="009D764A">
        <w:rPr>
          <w:b/>
          <w:bCs/>
        </w:rPr>
        <w:t xml:space="preserve"> redacted (for public release) version of this </w:t>
      </w:r>
      <w:r w:rsidR="00082C7C" w:rsidRPr="009D764A">
        <w:rPr>
          <w:b/>
          <w:bCs/>
        </w:rPr>
        <w:t xml:space="preserve">document.  </w:t>
      </w:r>
      <w:r w:rsidR="00AF4858" w:rsidRPr="009D764A">
        <w:rPr>
          <w:b/>
          <w:bCs/>
        </w:rPr>
        <w:t xml:space="preserve">Specify which statutory exception of APRA applies </w:t>
      </w:r>
      <w:r w:rsidR="00082C7C" w:rsidRPr="009D764A">
        <w:rPr>
          <w:b/>
          <w:bCs/>
        </w:rPr>
        <w:t>and p</w:t>
      </w:r>
      <w:r w:rsidR="00AF4858" w:rsidRPr="009D764A">
        <w:rPr>
          <w:b/>
          <w:bCs/>
        </w:rPr>
        <w:t>rovide a description explaining the manner in which the statutor</w:t>
      </w:r>
      <w:r w:rsidR="00082C7C" w:rsidRPr="009D764A">
        <w:rPr>
          <w:b/>
          <w:bCs/>
        </w:rPr>
        <w:t>y exception to the APRA applies</w:t>
      </w:r>
      <w:r w:rsidR="00AF4858" w:rsidRPr="009D764A">
        <w:rPr>
          <w:b/>
          <w:bCs/>
        </w:rPr>
        <w:t>.</w:t>
      </w:r>
    </w:p>
    <w:p w14:paraId="42862397" w14:textId="77777777" w:rsidR="0092693A" w:rsidRPr="00E371B1" w:rsidRDefault="0092693A" w:rsidP="00685FD0">
      <w:pPr>
        <w:rPr>
          <w:b/>
          <w:smallCaps/>
        </w:rPr>
      </w:pPr>
    </w:p>
    <w:p w14:paraId="75F20D6E" w14:textId="46195DBD" w:rsidR="006308C5" w:rsidRPr="00796924" w:rsidRDefault="00CA57A4" w:rsidP="00685FD0">
      <w:pPr>
        <w:rPr>
          <w:b/>
          <w:smallCaps/>
        </w:rPr>
      </w:pPr>
      <w:r w:rsidRPr="00E371B1">
        <w:rPr>
          <w:b/>
          <w:smallCaps/>
          <w:u w:val="single"/>
        </w:rPr>
        <w:t>Respondent Name:</w:t>
      </w:r>
      <w:r w:rsidR="00B17199" w:rsidRPr="00766082">
        <w:rPr>
          <w:b/>
          <w:smallCaps/>
        </w:rPr>
        <w:t xml:space="preserve"> </w:t>
      </w:r>
      <w:r w:rsidR="009227C4">
        <w:rPr>
          <w:b/>
          <w:smallCaps/>
        </w:rPr>
        <w:t>Maximus</w:t>
      </w:r>
    </w:p>
    <w:tbl>
      <w:tblPr>
        <w:tblStyle w:val="TableGrid"/>
        <w:tblW w:w="14400" w:type="dxa"/>
        <w:tblLook w:val="04A0" w:firstRow="1" w:lastRow="0" w:firstColumn="1" w:lastColumn="0" w:noHBand="0" w:noVBand="1"/>
      </w:tblPr>
      <w:tblGrid>
        <w:gridCol w:w="1616"/>
        <w:gridCol w:w="2430"/>
        <w:gridCol w:w="4762"/>
        <w:gridCol w:w="5592"/>
      </w:tblGrid>
      <w:tr w:rsidR="00796924" w:rsidRPr="00E371B1" w14:paraId="08F241F4" w14:textId="77777777" w:rsidTr="00837E2E">
        <w:trPr>
          <w:trHeight w:val="405"/>
          <w:tblHeader/>
        </w:trPr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1415BEA" w14:textId="77777777" w:rsidR="00796924" w:rsidRPr="00B03739" w:rsidRDefault="00796924" w:rsidP="00C43DF7">
            <w:pPr>
              <w:rPr>
                <w:b/>
                <w:smallCaps/>
                <w:color w:val="FF0000"/>
              </w:rPr>
            </w:pPr>
          </w:p>
        </w:tc>
        <w:tc>
          <w:tcPr>
            <w:tcW w:w="12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315DDFE" w14:textId="798D6AA6" w:rsidR="00796924" w:rsidRPr="00B03739" w:rsidRDefault="00796924" w:rsidP="00C43DF7">
            <w:pPr>
              <w:rPr>
                <w:b/>
                <w:smallCaps/>
                <w:color w:val="FF0000"/>
              </w:rPr>
            </w:pPr>
          </w:p>
        </w:tc>
      </w:tr>
      <w:tr w:rsidR="00796924" w:rsidRPr="00E371B1" w14:paraId="2B274770" w14:textId="77777777" w:rsidTr="00837E2E">
        <w:trPr>
          <w:tblHeader/>
        </w:trPr>
        <w:tc>
          <w:tcPr>
            <w:tcW w:w="1616" w:type="dxa"/>
            <w:tcBorders>
              <w:top w:val="single" w:sz="4" w:space="0" w:color="auto"/>
            </w:tcBorders>
            <w:shd w:val="clear" w:color="auto" w:fill="262626" w:themeFill="text1" w:themeFillTint="D9"/>
          </w:tcPr>
          <w:p w14:paraId="78B1586F" w14:textId="4F4C7CA8" w:rsidR="00796924" w:rsidRDefault="00796924" w:rsidP="00056904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Document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shd w:val="clear" w:color="auto" w:fill="262626" w:themeFill="text1" w:themeFillTint="D9"/>
            <w:vAlign w:val="center"/>
          </w:tcPr>
          <w:p w14:paraId="50D8D79A" w14:textId="44570CBB" w:rsidR="00796924" w:rsidRPr="00E371B1" w:rsidRDefault="00796924" w:rsidP="00056904">
            <w:pPr>
              <w:jc w:val="center"/>
              <w:rPr>
                <w:b/>
                <w:smallCaps/>
              </w:rPr>
            </w:pPr>
            <w:r w:rsidRPr="00E371B1">
              <w:rPr>
                <w:b/>
                <w:smallCaps/>
              </w:rPr>
              <w:t xml:space="preserve">Section </w:t>
            </w:r>
          </w:p>
        </w:tc>
        <w:tc>
          <w:tcPr>
            <w:tcW w:w="4762" w:type="dxa"/>
            <w:tcBorders>
              <w:top w:val="single" w:sz="4" w:space="0" w:color="auto"/>
            </w:tcBorders>
            <w:shd w:val="clear" w:color="auto" w:fill="262626" w:themeFill="text1" w:themeFillTint="D9"/>
            <w:vAlign w:val="center"/>
          </w:tcPr>
          <w:p w14:paraId="29D3FDFF" w14:textId="77777777" w:rsidR="00796924" w:rsidRPr="00E371B1" w:rsidRDefault="00796924" w:rsidP="00056904">
            <w:pPr>
              <w:jc w:val="center"/>
              <w:rPr>
                <w:b/>
                <w:smallCaps/>
              </w:rPr>
            </w:pPr>
            <w:r w:rsidRPr="00E371B1">
              <w:rPr>
                <w:b/>
                <w:smallCaps/>
              </w:rPr>
              <w:t>Clarification Question</w:t>
            </w:r>
          </w:p>
        </w:tc>
        <w:tc>
          <w:tcPr>
            <w:tcW w:w="5592" w:type="dxa"/>
            <w:tcBorders>
              <w:top w:val="single" w:sz="4" w:space="0" w:color="auto"/>
            </w:tcBorders>
            <w:shd w:val="clear" w:color="auto" w:fill="262626" w:themeFill="text1" w:themeFillTint="D9"/>
            <w:vAlign w:val="center"/>
          </w:tcPr>
          <w:p w14:paraId="44C3EB50" w14:textId="77777777" w:rsidR="00796924" w:rsidRPr="00E371B1" w:rsidRDefault="00796924" w:rsidP="00056904">
            <w:pPr>
              <w:jc w:val="center"/>
              <w:rPr>
                <w:b/>
                <w:smallCaps/>
              </w:rPr>
            </w:pPr>
            <w:r w:rsidRPr="00E371B1">
              <w:rPr>
                <w:b/>
                <w:smallCaps/>
              </w:rPr>
              <w:t>Respondent Response</w:t>
            </w:r>
          </w:p>
        </w:tc>
      </w:tr>
      <w:tr w:rsidR="0088316B" w:rsidRPr="00E371B1" w14:paraId="05EB07F6" w14:textId="77777777" w:rsidTr="00837E2E">
        <w:tc>
          <w:tcPr>
            <w:tcW w:w="1616" w:type="dxa"/>
          </w:tcPr>
          <w:p w14:paraId="51E8883B" w14:textId="6BBD5D5A" w:rsidR="0088316B" w:rsidRDefault="0088316B" w:rsidP="005C7BC1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Attachment E – Cost Proposal</w:t>
            </w:r>
          </w:p>
        </w:tc>
        <w:tc>
          <w:tcPr>
            <w:tcW w:w="2430" w:type="dxa"/>
          </w:tcPr>
          <w:p w14:paraId="60BF1E71" w14:textId="6BA29A57" w:rsidR="0088316B" w:rsidRDefault="0088316B" w:rsidP="005C7BC1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Transition Costs</w:t>
            </w:r>
          </w:p>
        </w:tc>
        <w:tc>
          <w:tcPr>
            <w:tcW w:w="4762" w:type="dxa"/>
          </w:tcPr>
          <w:p w14:paraId="1EFFBB2E" w14:textId="3D61A8BA" w:rsidR="0088316B" w:rsidRPr="0088316B" w:rsidRDefault="0088316B" w:rsidP="005C7BC1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Please confirm that your Transition Costs are inclusive of </w:t>
            </w:r>
            <w:r w:rsidRPr="0088316B">
              <w:rPr>
                <w:b/>
                <w:bCs/>
                <w:sz w:val="22"/>
                <w:szCs w:val="18"/>
              </w:rPr>
              <w:t xml:space="preserve">all </w:t>
            </w:r>
            <w:r>
              <w:rPr>
                <w:sz w:val="22"/>
                <w:szCs w:val="18"/>
              </w:rPr>
              <w:t xml:space="preserve">costs that would be billed to the State during the transition period, including the training of </w:t>
            </w:r>
            <w:r w:rsidR="006F2FD2">
              <w:rPr>
                <w:sz w:val="22"/>
                <w:szCs w:val="18"/>
              </w:rPr>
              <w:t>Eligibility</w:t>
            </w:r>
            <w:r>
              <w:rPr>
                <w:sz w:val="22"/>
                <w:szCs w:val="18"/>
              </w:rPr>
              <w:t xml:space="preserve"> Specialists. </w:t>
            </w:r>
            <w:r w:rsidR="006F2FD2">
              <w:rPr>
                <w:sz w:val="22"/>
                <w:szCs w:val="18"/>
              </w:rPr>
              <w:t xml:space="preserve">If you need to update your Transition Costs, please resubmit Attachment E – Cost Proposal and detail the changes that were made in the blue text box. </w:t>
            </w:r>
          </w:p>
        </w:tc>
        <w:tc>
          <w:tcPr>
            <w:tcW w:w="5592" w:type="dxa"/>
            <w:shd w:val="clear" w:color="auto" w:fill="DEEAF6" w:themeFill="accent1" w:themeFillTint="33"/>
          </w:tcPr>
          <w:p w14:paraId="28531F9A" w14:textId="0F460FB3" w:rsidR="00C612EB" w:rsidRDefault="008200A2" w:rsidP="002E0C09">
            <w:pPr>
              <w:jc w:val="both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Maximus resubmits Attachment E – Cost Proposal as well as Volume 3 – Cost </w:t>
            </w:r>
            <w:r w:rsidR="000D50D7">
              <w:rPr>
                <w:sz w:val="22"/>
                <w:szCs w:val="18"/>
              </w:rPr>
              <w:t>Proposal</w:t>
            </w:r>
            <w:r w:rsidR="008247E7">
              <w:rPr>
                <w:sz w:val="22"/>
                <w:szCs w:val="18"/>
              </w:rPr>
              <w:t xml:space="preserve"> to reflect the</w:t>
            </w:r>
            <w:r w:rsidR="005D6FBC">
              <w:rPr>
                <w:sz w:val="22"/>
                <w:szCs w:val="18"/>
              </w:rPr>
              <w:t xml:space="preserve"> transition cost</w:t>
            </w:r>
            <w:r w:rsidR="008247E7">
              <w:rPr>
                <w:sz w:val="22"/>
                <w:szCs w:val="18"/>
              </w:rPr>
              <w:t xml:space="preserve"> changes</w:t>
            </w:r>
            <w:r w:rsidR="00A5311D">
              <w:rPr>
                <w:sz w:val="22"/>
                <w:szCs w:val="18"/>
              </w:rPr>
              <w:t>.</w:t>
            </w:r>
          </w:p>
          <w:p w14:paraId="74AEDF23" w14:textId="77777777" w:rsidR="00C612EB" w:rsidRDefault="00C612EB" w:rsidP="002E0C09">
            <w:pPr>
              <w:jc w:val="both"/>
              <w:rPr>
                <w:sz w:val="22"/>
                <w:szCs w:val="18"/>
              </w:rPr>
            </w:pPr>
          </w:p>
          <w:p w14:paraId="3D39FA09" w14:textId="3B8D0D0E" w:rsidR="00C612EB" w:rsidRDefault="00C612EB" w:rsidP="002E0C09">
            <w:pPr>
              <w:jc w:val="both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Maximus</w:t>
            </w:r>
            <w:r w:rsidR="00114590">
              <w:rPr>
                <w:sz w:val="22"/>
                <w:szCs w:val="18"/>
              </w:rPr>
              <w:t xml:space="preserve"> </w:t>
            </w:r>
            <w:r>
              <w:rPr>
                <w:sz w:val="22"/>
                <w:szCs w:val="18"/>
              </w:rPr>
              <w:t>added the cost for the training of RCC eligibility specialists to the “Proposed Transition Costs” tab of Attachment E – Cost Proposal</w:t>
            </w:r>
            <w:r w:rsidR="00164F9D">
              <w:rPr>
                <w:sz w:val="22"/>
                <w:szCs w:val="18"/>
              </w:rPr>
              <w:t xml:space="preserve"> in Months six (6) through nine (9).   Maximus adjusted Volume 3 to reflect the change in assumptions based on the adjustment in the cost forms.</w:t>
            </w:r>
          </w:p>
          <w:p w14:paraId="20967F6C" w14:textId="77777777" w:rsidR="00164F9D" w:rsidRDefault="00164F9D" w:rsidP="002E0C09">
            <w:pPr>
              <w:jc w:val="both"/>
              <w:rPr>
                <w:sz w:val="22"/>
                <w:szCs w:val="18"/>
              </w:rPr>
            </w:pPr>
          </w:p>
          <w:p w14:paraId="53BC9D4A" w14:textId="35045BEA" w:rsidR="0088316B" w:rsidRDefault="00A5311D" w:rsidP="002E0C09">
            <w:pPr>
              <w:jc w:val="both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Maximus confirms that these revised documents are inclusive </w:t>
            </w:r>
            <w:r w:rsidR="00AC1016">
              <w:rPr>
                <w:sz w:val="22"/>
                <w:szCs w:val="18"/>
              </w:rPr>
              <w:t xml:space="preserve">of all costs that would be billed to the State during the transition period, including the training of Eligibility Specialists. </w:t>
            </w:r>
            <w:r w:rsidR="00C06CEE">
              <w:rPr>
                <w:sz w:val="22"/>
                <w:szCs w:val="18"/>
              </w:rPr>
              <w:t xml:space="preserve">The costs for </w:t>
            </w:r>
            <w:r w:rsidR="00800F30">
              <w:rPr>
                <w:sz w:val="22"/>
                <w:szCs w:val="18"/>
              </w:rPr>
              <w:t xml:space="preserve">the </w:t>
            </w:r>
            <w:r w:rsidR="00C06CEE">
              <w:rPr>
                <w:sz w:val="22"/>
                <w:szCs w:val="18"/>
              </w:rPr>
              <w:t xml:space="preserve">training of Eligibility Specialists were added on the “Proposed </w:t>
            </w:r>
            <w:r w:rsidR="003E35D9">
              <w:rPr>
                <w:sz w:val="22"/>
                <w:szCs w:val="18"/>
              </w:rPr>
              <w:t>Transition Costs” tab of Attachment E</w:t>
            </w:r>
            <w:r w:rsidR="00270DBF">
              <w:rPr>
                <w:sz w:val="22"/>
                <w:szCs w:val="18"/>
              </w:rPr>
              <w:t>—Cost Proposal</w:t>
            </w:r>
            <w:r w:rsidR="003E35D9">
              <w:rPr>
                <w:sz w:val="22"/>
                <w:szCs w:val="18"/>
              </w:rPr>
              <w:t xml:space="preserve"> in Month 6 – Month 9 of transition.</w:t>
            </w:r>
            <w:r w:rsidR="00AC1016">
              <w:rPr>
                <w:sz w:val="22"/>
                <w:szCs w:val="18"/>
              </w:rPr>
              <w:t xml:space="preserve">  </w:t>
            </w:r>
            <w:r w:rsidR="008200A2">
              <w:rPr>
                <w:sz w:val="22"/>
                <w:szCs w:val="18"/>
              </w:rPr>
              <w:t xml:space="preserve"> </w:t>
            </w:r>
          </w:p>
        </w:tc>
      </w:tr>
      <w:tr w:rsidR="002C1024" w:rsidRPr="00E371B1" w14:paraId="08E6F028" w14:textId="77777777" w:rsidTr="00837E2E">
        <w:tc>
          <w:tcPr>
            <w:tcW w:w="1616" w:type="dxa"/>
          </w:tcPr>
          <w:p w14:paraId="7D811027" w14:textId="1B9CA899" w:rsidR="002C1024" w:rsidRDefault="002C1024" w:rsidP="002C1024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Attachment F - Business Proposal</w:t>
            </w:r>
          </w:p>
        </w:tc>
        <w:tc>
          <w:tcPr>
            <w:tcW w:w="2430" w:type="dxa"/>
          </w:tcPr>
          <w:p w14:paraId="5B55A200" w14:textId="63FCA6F5" w:rsidR="002C1024" w:rsidRDefault="002C1024" w:rsidP="002C1024">
            <w:pPr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2.3.5</w:t>
            </w:r>
          </w:p>
        </w:tc>
        <w:tc>
          <w:tcPr>
            <w:tcW w:w="4762" w:type="dxa"/>
          </w:tcPr>
          <w:p w14:paraId="7F34C153" w14:textId="3B685772" w:rsidR="002C1024" w:rsidRDefault="002C1024" w:rsidP="002C1024">
            <w:pPr>
              <w:rPr>
                <w:sz w:val="22"/>
                <w:szCs w:val="18"/>
              </w:rPr>
            </w:pPr>
            <w:r w:rsidRPr="00796924">
              <w:rPr>
                <w:sz w:val="22"/>
                <w:szCs w:val="18"/>
              </w:rPr>
              <w:t xml:space="preserve">In </w:t>
            </w:r>
            <w:r>
              <w:rPr>
                <w:sz w:val="22"/>
                <w:szCs w:val="18"/>
              </w:rPr>
              <w:t xml:space="preserve">your </w:t>
            </w:r>
            <w:r w:rsidRPr="00796924">
              <w:rPr>
                <w:sz w:val="22"/>
                <w:szCs w:val="18"/>
              </w:rPr>
              <w:t>Business Proposal</w:t>
            </w:r>
            <w:r>
              <w:rPr>
                <w:sz w:val="22"/>
                <w:szCs w:val="18"/>
              </w:rPr>
              <w:t xml:space="preserve"> response</w:t>
            </w:r>
            <w:r w:rsidRPr="00796924">
              <w:rPr>
                <w:sz w:val="22"/>
                <w:szCs w:val="18"/>
              </w:rPr>
              <w:t xml:space="preserve">, Section 2.3.5, </w:t>
            </w:r>
            <w:r>
              <w:rPr>
                <w:sz w:val="22"/>
                <w:szCs w:val="18"/>
              </w:rPr>
              <w:t xml:space="preserve">you have noted exceptions to non-mandatory clauses in Attachment B. </w:t>
            </w:r>
            <w:r w:rsidRPr="00796924">
              <w:rPr>
                <w:sz w:val="22"/>
                <w:szCs w:val="18"/>
              </w:rPr>
              <w:t xml:space="preserve">Please clarify </w:t>
            </w:r>
            <w:r>
              <w:rPr>
                <w:sz w:val="22"/>
                <w:szCs w:val="18"/>
              </w:rPr>
              <w:t>that</w:t>
            </w:r>
            <w:r w:rsidRPr="00796924">
              <w:rPr>
                <w:sz w:val="22"/>
                <w:szCs w:val="18"/>
              </w:rPr>
              <w:t xml:space="preserve"> </w:t>
            </w:r>
            <w:r>
              <w:rPr>
                <w:sz w:val="22"/>
                <w:szCs w:val="18"/>
              </w:rPr>
              <w:t>your</w:t>
            </w:r>
            <w:r w:rsidRPr="00796924">
              <w:rPr>
                <w:sz w:val="22"/>
                <w:szCs w:val="18"/>
              </w:rPr>
              <w:t xml:space="preserve"> proposal to this RFP is</w:t>
            </w:r>
            <w:r>
              <w:rPr>
                <w:sz w:val="22"/>
                <w:szCs w:val="18"/>
              </w:rPr>
              <w:t xml:space="preserve"> not</w:t>
            </w:r>
            <w:r w:rsidRPr="00796924">
              <w:rPr>
                <w:sz w:val="22"/>
                <w:szCs w:val="18"/>
              </w:rPr>
              <w:t xml:space="preserve"> conditioned upon the State's acceptance of the</w:t>
            </w:r>
            <w:r>
              <w:rPr>
                <w:sz w:val="22"/>
                <w:szCs w:val="18"/>
              </w:rPr>
              <w:t>se</w:t>
            </w:r>
            <w:r w:rsidRPr="00796924">
              <w:rPr>
                <w:sz w:val="22"/>
                <w:szCs w:val="18"/>
              </w:rPr>
              <w:t xml:space="preserve"> proposed modification</w:t>
            </w:r>
            <w:r>
              <w:rPr>
                <w:sz w:val="22"/>
                <w:szCs w:val="18"/>
              </w:rPr>
              <w:t>s.</w:t>
            </w:r>
          </w:p>
        </w:tc>
        <w:tc>
          <w:tcPr>
            <w:tcW w:w="5592" w:type="dxa"/>
            <w:shd w:val="clear" w:color="auto" w:fill="DEEAF6" w:themeFill="accent1" w:themeFillTint="33"/>
          </w:tcPr>
          <w:p w14:paraId="25E97980" w14:textId="09DBB8AC" w:rsidR="002C1024" w:rsidRDefault="00CE3851" w:rsidP="002C1024">
            <w:pPr>
              <w:jc w:val="both"/>
              <w:rPr>
                <w:sz w:val="22"/>
                <w:szCs w:val="18"/>
              </w:rPr>
            </w:pPr>
            <w:r w:rsidRPr="00CE3851">
              <w:rPr>
                <w:sz w:val="22"/>
                <w:szCs w:val="18"/>
              </w:rPr>
              <w:t>Maximus confirms that our proposal to this RFP is not conditioned upon the State’s acceptance of the proposed modifications.</w:t>
            </w:r>
          </w:p>
        </w:tc>
      </w:tr>
    </w:tbl>
    <w:p w14:paraId="63B47D86" w14:textId="77777777" w:rsidR="005B4AA9" w:rsidRPr="00E371B1" w:rsidRDefault="005B4AA9" w:rsidP="005B4AA9"/>
    <w:sectPr w:rsidR="005B4AA9" w:rsidRPr="00E371B1" w:rsidSect="00132878">
      <w:headerReference w:type="default" r:id="rId10"/>
      <w:footerReference w:type="defaul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09D42" w14:textId="77777777" w:rsidR="00857C53" w:rsidRDefault="00857C53" w:rsidP="00132878">
      <w:pPr>
        <w:spacing w:line="240" w:lineRule="auto"/>
      </w:pPr>
      <w:r>
        <w:separator/>
      </w:r>
    </w:p>
  </w:endnote>
  <w:endnote w:type="continuationSeparator" w:id="0">
    <w:p w14:paraId="62AAF06F" w14:textId="77777777" w:rsidR="00857C53" w:rsidRDefault="00857C53" w:rsidP="00132878">
      <w:pPr>
        <w:spacing w:line="240" w:lineRule="auto"/>
      </w:pPr>
      <w:r>
        <w:continuationSeparator/>
      </w:r>
    </w:p>
  </w:endnote>
  <w:endnote w:type="continuationNotice" w:id="1">
    <w:p w14:paraId="10B73783" w14:textId="77777777" w:rsidR="00857C53" w:rsidRDefault="00857C5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103397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14:paraId="3292F7EF" w14:textId="77777777" w:rsidR="004944D6" w:rsidRPr="004944D6" w:rsidRDefault="004944D6" w:rsidP="004944D6">
            <w:pPr>
              <w:pStyle w:val="Footer"/>
              <w:jc w:val="right"/>
              <w:rPr>
                <w:sz w:val="12"/>
              </w:rPr>
            </w:pPr>
          </w:p>
          <w:p w14:paraId="4B3E4897" w14:textId="77777777" w:rsidR="004944D6" w:rsidRPr="004944D6" w:rsidRDefault="00CA19EA" w:rsidP="00CA19EA">
            <w:pPr>
              <w:pStyle w:val="Footer"/>
              <w:tabs>
                <w:tab w:val="left" w:pos="13395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 w:rsidR="004944D6" w:rsidRPr="004944D6">
              <w:rPr>
                <w:sz w:val="20"/>
              </w:rPr>
              <w:t xml:space="preserve">Page </w: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begin"/>
            </w:r>
            <w:r w:rsidR="004944D6" w:rsidRPr="004944D6">
              <w:rPr>
                <w:b/>
                <w:bCs/>
                <w:sz w:val="20"/>
              </w:rPr>
              <w:instrText xml:space="preserve"> PAGE </w:instrTex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separate"/>
            </w:r>
            <w:r w:rsidR="00082C7C">
              <w:rPr>
                <w:b/>
                <w:bCs/>
                <w:noProof/>
                <w:sz w:val="20"/>
              </w:rPr>
              <w:t>2</w: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end"/>
            </w:r>
            <w:r w:rsidR="004944D6" w:rsidRPr="004944D6">
              <w:rPr>
                <w:sz w:val="20"/>
              </w:rPr>
              <w:t xml:space="preserve"> of </w: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begin"/>
            </w:r>
            <w:r w:rsidR="004944D6" w:rsidRPr="004944D6">
              <w:rPr>
                <w:b/>
                <w:bCs/>
                <w:sz w:val="20"/>
              </w:rPr>
              <w:instrText xml:space="preserve"> NUMPAGES  </w:instrTex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separate"/>
            </w:r>
            <w:r w:rsidR="00082C7C">
              <w:rPr>
                <w:b/>
                <w:bCs/>
                <w:noProof/>
                <w:sz w:val="20"/>
              </w:rPr>
              <w:t>2</w: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44671" w14:textId="77777777" w:rsidR="00857C53" w:rsidRDefault="00857C53" w:rsidP="00132878">
      <w:pPr>
        <w:spacing w:line="240" w:lineRule="auto"/>
      </w:pPr>
      <w:r>
        <w:separator/>
      </w:r>
    </w:p>
  </w:footnote>
  <w:footnote w:type="continuationSeparator" w:id="0">
    <w:p w14:paraId="1D158A23" w14:textId="77777777" w:rsidR="00857C53" w:rsidRDefault="00857C53" w:rsidP="00132878">
      <w:pPr>
        <w:spacing w:line="240" w:lineRule="auto"/>
      </w:pPr>
      <w:r>
        <w:continuationSeparator/>
      </w:r>
    </w:p>
  </w:footnote>
  <w:footnote w:type="continuationNotice" w:id="1">
    <w:p w14:paraId="4F58B610" w14:textId="77777777" w:rsidR="00857C53" w:rsidRDefault="00857C5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7F16B" w14:textId="4A0DE959" w:rsidR="00B03739" w:rsidRPr="002A0BAA" w:rsidRDefault="001142B0" w:rsidP="00B03739">
    <w:pPr>
      <w:pStyle w:val="Header"/>
      <w:jc w:val="center"/>
      <w:rPr>
        <w:b/>
        <w:smallCaps/>
        <w:u w:val="single"/>
      </w:rPr>
    </w:pPr>
    <w:r>
      <w:rPr>
        <w:b/>
        <w:smallCaps/>
        <w:u w:val="single"/>
      </w:rPr>
      <w:t>RFP 22-68345</w:t>
    </w:r>
    <w:r w:rsidR="00B03739" w:rsidRPr="006308C5">
      <w:rPr>
        <w:b/>
        <w:smallCaps/>
        <w:u w:val="single"/>
      </w:rPr>
      <w:t xml:space="preserve"> </w:t>
    </w:r>
    <w:r w:rsidR="00B03739" w:rsidRPr="002A0BAA">
      <w:rPr>
        <w:b/>
        <w:smallCaps/>
        <w:u w:val="single"/>
      </w:rPr>
      <w:t>Clarifications</w:t>
    </w:r>
  </w:p>
  <w:p w14:paraId="05D5928E" w14:textId="77777777" w:rsidR="00132878" w:rsidRPr="00132878" w:rsidRDefault="00132878" w:rsidP="00132878">
    <w:pPr>
      <w:pStyle w:val="Header"/>
      <w:jc w:val="center"/>
      <w:rPr>
        <w:b/>
        <w:sz w:val="1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6B7E"/>
    <w:multiLevelType w:val="hybridMultilevel"/>
    <w:tmpl w:val="2C205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27B2D"/>
    <w:multiLevelType w:val="hybridMultilevel"/>
    <w:tmpl w:val="93C2F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9458C"/>
    <w:multiLevelType w:val="hybridMultilevel"/>
    <w:tmpl w:val="9454E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87A95"/>
    <w:multiLevelType w:val="hybridMultilevel"/>
    <w:tmpl w:val="D038A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FD7AF0"/>
    <w:multiLevelType w:val="hybridMultilevel"/>
    <w:tmpl w:val="5BBEE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878"/>
    <w:rsid w:val="0001171F"/>
    <w:rsid w:val="00021A9C"/>
    <w:rsid w:val="00033E34"/>
    <w:rsid w:val="00040441"/>
    <w:rsid w:val="00044EEA"/>
    <w:rsid w:val="00056904"/>
    <w:rsid w:val="00082C7C"/>
    <w:rsid w:val="000D50D7"/>
    <w:rsid w:val="000D5727"/>
    <w:rsid w:val="000E3B1C"/>
    <w:rsid w:val="001142B0"/>
    <w:rsid w:val="00114590"/>
    <w:rsid w:val="0011718B"/>
    <w:rsid w:val="00132878"/>
    <w:rsid w:val="00140C74"/>
    <w:rsid w:val="00141264"/>
    <w:rsid w:val="001444A8"/>
    <w:rsid w:val="00164F9D"/>
    <w:rsid w:val="0017309E"/>
    <w:rsid w:val="001D35D0"/>
    <w:rsid w:val="00270DBF"/>
    <w:rsid w:val="0027183E"/>
    <w:rsid w:val="00284D80"/>
    <w:rsid w:val="002901C8"/>
    <w:rsid w:val="002A0BAA"/>
    <w:rsid w:val="002C1024"/>
    <w:rsid w:val="002C14BB"/>
    <w:rsid w:val="002E0C09"/>
    <w:rsid w:val="002F51BD"/>
    <w:rsid w:val="00301DD6"/>
    <w:rsid w:val="003B46CA"/>
    <w:rsid w:val="003B75E5"/>
    <w:rsid w:val="003D676B"/>
    <w:rsid w:val="003E35D9"/>
    <w:rsid w:val="00402FB8"/>
    <w:rsid w:val="004030C1"/>
    <w:rsid w:val="00414D33"/>
    <w:rsid w:val="00426ABC"/>
    <w:rsid w:val="00454A8C"/>
    <w:rsid w:val="004944D6"/>
    <w:rsid w:val="004C15A3"/>
    <w:rsid w:val="004E3F7C"/>
    <w:rsid w:val="004F3103"/>
    <w:rsid w:val="0053431D"/>
    <w:rsid w:val="005462A9"/>
    <w:rsid w:val="00566677"/>
    <w:rsid w:val="00582B16"/>
    <w:rsid w:val="00584B44"/>
    <w:rsid w:val="00591E9E"/>
    <w:rsid w:val="00593863"/>
    <w:rsid w:val="005B4AA9"/>
    <w:rsid w:val="005C7BC1"/>
    <w:rsid w:val="005D6FBC"/>
    <w:rsid w:val="005E02CB"/>
    <w:rsid w:val="00602202"/>
    <w:rsid w:val="00613D4B"/>
    <w:rsid w:val="00622ADF"/>
    <w:rsid w:val="006308C5"/>
    <w:rsid w:val="00632E8C"/>
    <w:rsid w:val="00653174"/>
    <w:rsid w:val="00685FD0"/>
    <w:rsid w:val="00695E7C"/>
    <w:rsid w:val="006B2A1C"/>
    <w:rsid w:val="006E55FC"/>
    <w:rsid w:val="006F2FD2"/>
    <w:rsid w:val="00766082"/>
    <w:rsid w:val="00796057"/>
    <w:rsid w:val="00796924"/>
    <w:rsid w:val="007A3CBD"/>
    <w:rsid w:val="007D1472"/>
    <w:rsid w:val="007E3755"/>
    <w:rsid w:val="007F42EB"/>
    <w:rsid w:val="007F7905"/>
    <w:rsid w:val="00800F30"/>
    <w:rsid w:val="008064DB"/>
    <w:rsid w:val="008200A2"/>
    <w:rsid w:val="008215ED"/>
    <w:rsid w:val="008247E7"/>
    <w:rsid w:val="00837E2E"/>
    <w:rsid w:val="00857C53"/>
    <w:rsid w:val="00867C4B"/>
    <w:rsid w:val="008755A1"/>
    <w:rsid w:val="0088316B"/>
    <w:rsid w:val="008A12C9"/>
    <w:rsid w:val="008B65DA"/>
    <w:rsid w:val="008C2A75"/>
    <w:rsid w:val="008F1E3C"/>
    <w:rsid w:val="00905459"/>
    <w:rsid w:val="009073EF"/>
    <w:rsid w:val="009227C4"/>
    <w:rsid w:val="0092693A"/>
    <w:rsid w:val="00986504"/>
    <w:rsid w:val="009D764A"/>
    <w:rsid w:val="009E3CB4"/>
    <w:rsid w:val="009F2B75"/>
    <w:rsid w:val="00A15A8C"/>
    <w:rsid w:val="00A16235"/>
    <w:rsid w:val="00A34F0E"/>
    <w:rsid w:val="00A5311D"/>
    <w:rsid w:val="00A94B67"/>
    <w:rsid w:val="00AB4972"/>
    <w:rsid w:val="00AC1016"/>
    <w:rsid w:val="00AE5B04"/>
    <w:rsid w:val="00AF4858"/>
    <w:rsid w:val="00AF5B9D"/>
    <w:rsid w:val="00B023FA"/>
    <w:rsid w:val="00B03739"/>
    <w:rsid w:val="00B13C63"/>
    <w:rsid w:val="00B17199"/>
    <w:rsid w:val="00B51445"/>
    <w:rsid w:val="00B80BE2"/>
    <w:rsid w:val="00B81C69"/>
    <w:rsid w:val="00B96F3C"/>
    <w:rsid w:val="00BB589F"/>
    <w:rsid w:val="00BF3AFB"/>
    <w:rsid w:val="00C06CEE"/>
    <w:rsid w:val="00C11CA3"/>
    <w:rsid w:val="00C14FBF"/>
    <w:rsid w:val="00C43DF7"/>
    <w:rsid w:val="00C458ED"/>
    <w:rsid w:val="00C612EB"/>
    <w:rsid w:val="00C73E3A"/>
    <w:rsid w:val="00C81FE1"/>
    <w:rsid w:val="00C84BF6"/>
    <w:rsid w:val="00CA19EA"/>
    <w:rsid w:val="00CA57A4"/>
    <w:rsid w:val="00CB41E9"/>
    <w:rsid w:val="00CC53C2"/>
    <w:rsid w:val="00CE3851"/>
    <w:rsid w:val="00D53508"/>
    <w:rsid w:val="00DD3E40"/>
    <w:rsid w:val="00DD5F8F"/>
    <w:rsid w:val="00DF0EF2"/>
    <w:rsid w:val="00E00AFC"/>
    <w:rsid w:val="00E2524E"/>
    <w:rsid w:val="00E26088"/>
    <w:rsid w:val="00E33417"/>
    <w:rsid w:val="00E371B1"/>
    <w:rsid w:val="00E51646"/>
    <w:rsid w:val="00E86145"/>
    <w:rsid w:val="00E87D2C"/>
    <w:rsid w:val="00EC73ED"/>
    <w:rsid w:val="00FA17F9"/>
    <w:rsid w:val="00FB4EEB"/>
    <w:rsid w:val="00FC110A"/>
    <w:rsid w:val="00FD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A64952"/>
  <w15:chartTrackingRefBased/>
  <w15:docId w15:val="{75F72D43-E47B-4E12-BA1D-7F55E2273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287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878"/>
  </w:style>
  <w:style w:type="paragraph" w:styleId="Footer">
    <w:name w:val="footer"/>
    <w:basedOn w:val="Normal"/>
    <w:link w:val="FooterChar"/>
    <w:uiPriority w:val="99"/>
    <w:unhideWhenUsed/>
    <w:rsid w:val="0013287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878"/>
  </w:style>
  <w:style w:type="table" w:styleId="TableGrid">
    <w:name w:val="Table Grid"/>
    <w:basedOn w:val="TableNormal"/>
    <w:uiPriority w:val="39"/>
    <w:rsid w:val="002A0BA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7BC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BC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43D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02F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FB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FB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F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FB8"/>
    <w:rPr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B514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14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05A934AF25C49A1907B470262DCCF" ma:contentTypeVersion="" ma:contentTypeDescription="Create a new document." ma:contentTypeScope="" ma:versionID="6d403efe1fc215f7c03b36cce7a29f36">
  <xsd:schema xmlns:xsd="http://www.w3.org/2001/XMLSchema" xmlns:xs="http://www.w3.org/2001/XMLSchema" xmlns:p="http://schemas.microsoft.com/office/2006/metadata/properties" xmlns:ns2="c77a36ed-591a-40ab-8b52-7b9b9516e9b2" targetNamespace="http://schemas.microsoft.com/office/2006/metadata/properties" ma:root="true" ma:fieldsID="b59c314a7b4a02dae40303a5c6bc6f26" ns2:_="">
    <xsd:import namespace="c77a36ed-591a-40ab-8b52-7b9b9516e9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7a36ed-591a-40ab-8b52-7b9b9516e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8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AE391F-0996-4142-BCA2-C705ADC87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7a36ed-591a-40ab-8b52-7b9b9516e9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098D4F-A0AD-42A6-BDF0-F2509F16B1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F1EEA8-B3BF-4CFB-9068-B89DFEA660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329</Words>
  <Characters>1877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E. Helmer IV | IDOA</dc:creator>
  <cp:keywords/>
  <dc:description/>
  <cp:lastModifiedBy>Robin Lafrance</cp:lastModifiedBy>
  <cp:revision>19</cp:revision>
  <dcterms:created xsi:type="dcterms:W3CDTF">2021-10-21T18:27:00Z</dcterms:created>
  <dcterms:modified xsi:type="dcterms:W3CDTF">2021-10-21T20:20:00Z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0x01010012B05A934AF25C49A1907B470262DCCF</vt:lpwstr>
  </property>
</Properties>
</file>